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Clearing Clutter &amp; Finding Contentment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By Becky Chappell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Causes of Clutter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Trying to build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security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Looking for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acceptance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Trying achieve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contentment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Holding on to the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past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Too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lazy.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Too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busy.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is Minimalism?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Joshua Becker defines it this way. “Minimalism is the intentional promotion of the things we most value and the removal of everything that distracts us from it. It is a life that forces intentionality. And as a result, it forces improvements in almost all aspects of your life.”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Benefits of Living with Less.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Less spending = less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debt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and more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money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Less to worry about = less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stress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Less stuff = less to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clean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Less waste = better for the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environment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Less to do = more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time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Less distractions = more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focus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How to Clear Clutter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Write down what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results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you want out having less clutter in your life.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Find places to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donate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discard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items before you start.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Select a method by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space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room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category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Take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everything out.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Ask yourself does this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add value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to my life?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Decide if it’s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trash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treasure,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transfer.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Dealing with Roadblocks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if I need it?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It was a gift from someone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spent good money on it.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It has sentimental value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Opposition from others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Gatekeeping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Consume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less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Choose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quality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over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quantity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Barrow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before you buy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One in one out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Set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limits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Gift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giving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and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receiving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change so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reevaluate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